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Dr Kar Mei Tang Media Kit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2187831" cy="219475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87831" cy="219475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Dr Kar Mei Tang was appointed Chief Circular Economist with NSW Circular in 2020, a government-funded body to fast-track NSW’s transition to the circular economy.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Prior to this she was Executive Director, Circular Economy in the NSW Department of Planning, Industry and Environment and Environment Protection Authority, and was Director of Economic Policy in the NSW Department of Premier and Cabinet.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Before joining the NSW public sector, she was Head of Policy and Research with the Australian Private Equity and Venture Capital Association (now Australian Investment Council).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Kar Mei has a PhD in Economics and is the current Chair of NSW Women in Economics Network, Council Member of the Economic Society of Australia (NSW) and Advisory Council Member to the Gateway Bank.</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